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98" w:rsidRDefault="00CA1B98" w:rsidP="00CA1B98">
      <w:pPr>
        <w:jc w:val="center"/>
        <w:rPr>
          <w:rFonts w:ascii="方正小标宋简体" w:eastAsia="方正小标宋简体"/>
          <w:sz w:val="40"/>
        </w:rPr>
      </w:pPr>
      <w:r w:rsidRPr="00CA1B98">
        <w:rPr>
          <w:rFonts w:ascii="方正小标宋简体" w:eastAsia="方正小标宋简体" w:hint="eastAsia"/>
          <w:sz w:val="40"/>
        </w:rPr>
        <w:t>关于进一步弘扬科学家精神加强作风和学风</w:t>
      </w:r>
    </w:p>
    <w:p w:rsidR="00CC4C62" w:rsidRDefault="00CA1B98" w:rsidP="00CA1B98">
      <w:pPr>
        <w:jc w:val="center"/>
        <w:rPr>
          <w:rFonts w:ascii="方正小标宋简体" w:eastAsia="方正小标宋简体"/>
          <w:sz w:val="40"/>
        </w:rPr>
      </w:pPr>
      <w:r w:rsidRPr="00CA1B98">
        <w:rPr>
          <w:rFonts w:ascii="方正小标宋简体" w:eastAsia="方正小标宋简体" w:hint="eastAsia"/>
          <w:sz w:val="40"/>
        </w:rPr>
        <w:t>建设的意见</w:t>
      </w:r>
    </w:p>
    <w:p w:rsidR="00CA1B98" w:rsidRDefault="00CA1B98" w:rsidP="00CA1B98">
      <w:pPr>
        <w:rPr>
          <w:rFonts w:ascii="仿宋_GB2312" w:eastAsia="仿宋_GB2312"/>
          <w:sz w:val="32"/>
          <w:szCs w:val="32"/>
        </w:rPr>
      </w:pP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CA1B98" w:rsidRPr="00CA1B98" w:rsidRDefault="00CA1B98" w:rsidP="007B2E2B">
      <w:pPr>
        <w:pStyle w:val="a7"/>
        <w:shd w:val="clear" w:color="auto" w:fill="FFFFFF"/>
        <w:spacing w:before="0" w:beforeAutospacing="0" w:after="0" w:afterAutospacing="0" w:line="500" w:lineRule="exact"/>
        <w:ind w:firstLineChars="200" w:firstLine="643"/>
        <w:rPr>
          <w:rFonts w:ascii="仿宋_GB2312" w:eastAsia="仿宋_GB2312" w:hint="eastAsia"/>
          <w:color w:val="333333"/>
          <w:sz w:val="32"/>
          <w:szCs w:val="32"/>
        </w:rPr>
      </w:pPr>
      <w:r w:rsidRPr="00CA1B98">
        <w:rPr>
          <w:rFonts w:ascii="仿宋_GB2312" w:eastAsia="仿宋_GB2312" w:hint="eastAsia"/>
          <w:b/>
          <w:bCs/>
          <w:color w:val="333333"/>
          <w:sz w:val="32"/>
          <w:szCs w:val="32"/>
          <w:bdr w:val="none" w:sz="0" w:space="0" w:color="auto" w:frame="1"/>
        </w:rPr>
        <w:t>一、总体要求</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（一）指导思想</w:t>
      </w:r>
      <w:bookmarkStart w:id="0" w:name="_GoBack"/>
      <w:bookmarkEnd w:id="0"/>
      <w:r w:rsidRPr="00CA1B98">
        <w:rPr>
          <w:rFonts w:ascii="仿宋_GB2312" w:eastAsia="仿宋_GB2312" w:hint="eastAsia"/>
          <w:color w:val="333333"/>
          <w:sz w:val="32"/>
          <w:szCs w:val="32"/>
        </w:rPr>
        <w:t>。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w:t>
      </w:r>
      <w:r w:rsidRPr="00CA1B98">
        <w:rPr>
          <w:rFonts w:ascii="仿宋_GB2312" w:eastAsia="仿宋_GB2312" w:hint="eastAsia"/>
          <w:color w:val="333333"/>
          <w:sz w:val="32"/>
          <w:szCs w:val="32"/>
        </w:rPr>
        <w:lastRenderedPageBreak/>
        <w:t>建设常态化、制度化，为科技工作者潜心科研、拼搏创新提供良好政策保障和舆论环境。</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CA1B98" w:rsidRPr="00CA1B98" w:rsidRDefault="00CA1B98" w:rsidP="007B2E2B">
      <w:pPr>
        <w:pStyle w:val="a7"/>
        <w:shd w:val="clear" w:color="auto" w:fill="FFFFFF"/>
        <w:spacing w:before="0" w:beforeAutospacing="0" w:after="0" w:afterAutospacing="0" w:line="500" w:lineRule="exact"/>
        <w:ind w:firstLineChars="200" w:firstLine="643"/>
        <w:rPr>
          <w:rFonts w:ascii="仿宋_GB2312" w:eastAsia="仿宋_GB2312" w:hint="eastAsia"/>
          <w:color w:val="333333"/>
          <w:sz w:val="32"/>
          <w:szCs w:val="32"/>
        </w:rPr>
      </w:pPr>
      <w:r w:rsidRPr="00CA1B98">
        <w:rPr>
          <w:rFonts w:ascii="仿宋_GB2312" w:eastAsia="仿宋_GB2312" w:hint="eastAsia"/>
          <w:b/>
          <w:bCs/>
          <w:color w:val="333333"/>
          <w:sz w:val="32"/>
          <w:szCs w:val="32"/>
          <w:bdr w:val="none" w:sz="0" w:space="0" w:color="auto" w:frame="1"/>
        </w:rPr>
        <w:t>二、自觉践行、大力弘扬新时代科学家精神</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lastRenderedPageBreak/>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CA1B98" w:rsidRPr="00CA1B98" w:rsidRDefault="00CA1B98" w:rsidP="007B2E2B">
      <w:pPr>
        <w:pStyle w:val="a7"/>
        <w:shd w:val="clear" w:color="auto" w:fill="FFFFFF"/>
        <w:spacing w:before="0" w:beforeAutospacing="0" w:after="0" w:afterAutospacing="0" w:line="500" w:lineRule="exact"/>
        <w:ind w:firstLineChars="200" w:firstLine="643"/>
        <w:rPr>
          <w:rFonts w:ascii="仿宋_GB2312" w:eastAsia="仿宋_GB2312" w:hint="eastAsia"/>
          <w:color w:val="333333"/>
          <w:sz w:val="32"/>
          <w:szCs w:val="32"/>
        </w:rPr>
      </w:pPr>
      <w:r w:rsidRPr="00CA1B98">
        <w:rPr>
          <w:rFonts w:ascii="仿宋_GB2312" w:eastAsia="仿宋_GB2312" w:hint="eastAsia"/>
          <w:b/>
          <w:bCs/>
          <w:color w:val="333333"/>
          <w:sz w:val="32"/>
          <w:szCs w:val="32"/>
          <w:bdr w:val="none" w:sz="0" w:space="0" w:color="auto" w:frame="1"/>
        </w:rPr>
        <w:t>三、加强作风和学风建设，营造风清气正的科研环境</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（十一）坚守诚信底线。科研诚信是科技工作者的生命。高等学校、科研机构和企业等要把教育引导和制度约</w:t>
      </w:r>
      <w:r w:rsidRPr="00CA1B98">
        <w:rPr>
          <w:rFonts w:ascii="仿宋_GB2312" w:eastAsia="仿宋_GB2312" w:hint="eastAsia"/>
          <w:color w:val="333333"/>
          <w:sz w:val="32"/>
          <w:szCs w:val="32"/>
        </w:rPr>
        <w:lastRenderedPageBreak/>
        <w:t>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w:t>
      </w:r>
      <w:r w:rsidRPr="00CA1B98">
        <w:rPr>
          <w:rFonts w:ascii="仿宋_GB2312" w:eastAsia="仿宋_GB2312" w:hint="eastAsia"/>
          <w:color w:val="333333"/>
          <w:sz w:val="32"/>
          <w:szCs w:val="32"/>
        </w:rPr>
        <w:lastRenderedPageBreak/>
        <w:t>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w:t>
      </w:r>
      <w:r w:rsidRPr="00CA1B98">
        <w:rPr>
          <w:rFonts w:ascii="仿宋_GB2312" w:eastAsia="仿宋_GB2312" w:hint="eastAsia"/>
          <w:color w:val="333333"/>
          <w:sz w:val="32"/>
          <w:szCs w:val="32"/>
        </w:rPr>
        <w:lastRenderedPageBreak/>
        <w:t>履行社会责任，主动走近大中小学生，传播爱国奉献的价值理念，开展科普活动，引领更多青少年投身科技事业。</w:t>
      </w:r>
    </w:p>
    <w:p w:rsidR="00CA1B98" w:rsidRPr="00CA1B98" w:rsidRDefault="00CA1B98" w:rsidP="007B2E2B">
      <w:pPr>
        <w:pStyle w:val="a7"/>
        <w:shd w:val="clear" w:color="auto" w:fill="FFFFFF"/>
        <w:spacing w:before="0" w:beforeAutospacing="0" w:after="0" w:afterAutospacing="0" w:line="500" w:lineRule="exact"/>
        <w:ind w:firstLineChars="200" w:firstLine="643"/>
        <w:rPr>
          <w:rFonts w:ascii="仿宋_GB2312" w:eastAsia="仿宋_GB2312" w:hint="eastAsia"/>
          <w:color w:val="333333"/>
          <w:sz w:val="32"/>
          <w:szCs w:val="32"/>
        </w:rPr>
      </w:pPr>
      <w:r w:rsidRPr="00CA1B98">
        <w:rPr>
          <w:rFonts w:ascii="仿宋_GB2312" w:eastAsia="仿宋_GB2312" w:hint="eastAsia"/>
          <w:b/>
          <w:bCs/>
          <w:color w:val="333333"/>
          <w:sz w:val="32"/>
          <w:szCs w:val="32"/>
          <w:bdr w:val="none" w:sz="0" w:space="0" w:color="auto" w:frame="1"/>
        </w:rPr>
        <w:t>四、加快转变政府职能，构建良好科研生态</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w:t>
      </w:r>
      <w:r w:rsidRPr="00CA1B98">
        <w:rPr>
          <w:rFonts w:ascii="仿宋_GB2312" w:eastAsia="仿宋_GB2312" w:hint="eastAsia"/>
          <w:color w:val="333333"/>
          <w:sz w:val="32"/>
          <w:szCs w:val="32"/>
        </w:rPr>
        <w:lastRenderedPageBreak/>
        <w:t>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rsidR="00CA1B98" w:rsidRPr="00CA1B98" w:rsidRDefault="00CA1B98" w:rsidP="007B2E2B">
      <w:pPr>
        <w:pStyle w:val="a7"/>
        <w:shd w:val="clear" w:color="auto" w:fill="FFFFFF"/>
        <w:spacing w:before="0" w:beforeAutospacing="0" w:after="0" w:afterAutospacing="0" w:line="500" w:lineRule="exact"/>
        <w:ind w:firstLineChars="200" w:firstLine="643"/>
        <w:rPr>
          <w:rFonts w:ascii="仿宋_GB2312" w:eastAsia="仿宋_GB2312" w:hint="eastAsia"/>
          <w:color w:val="333333"/>
          <w:sz w:val="32"/>
          <w:szCs w:val="32"/>
        </w:rPr>
      </w:pPr>
      <w:r w:rsidRPr="00CA1B98">
        <w:rPr>
          <w:rFonts w:ascii="仿宋_GB2312" w:eastAsia="仿宋_GB2312" w:hint="eastAsia"/>
          <w:b/>
          <w:bCs/>
          <w:color w:val="333333"/>
          <w:sz w:val="32"/>
          <w:szCs w:val="32"/>
          <w:bdr w:val="none" w:sz="0" w:space="0" w:color="auto" w:frame="1"/>
        </w:rPr>
        <w:t>五、加强宣传，营造尊重人才、尊崇创新的舆论氛围</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w:t>
      </w:r>
      <w:r w:rsidRPr="00CA1B98">
        <w:rPr>
          <w:rFonts w:ascii="仿宋_GB2312" w:eastAsia="仿宋_GB2312" w:hint="eastAsia"/>
          <w:color w:val="333333"/>
          <w:sz w:val="32"/>
          <w:szCs w:val="32"/>
        </w:rPr>
        <w:lastRenderedPageBreak/>
        <w:t>科技进步的相关展项，依托科技馆、国家重点实验室、重大科技工程纪念馆（遗迹）等设施建设一批科学家精神教育基地。</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CA1B98" w:rsidRPr="00CA1B98" w:rsidRDefault="00CA1B98" w:rsidP="007B2E2B">
      <w:pPr>
        <w:pStyle w:val="a7"/>
        <w:shd w:val="clear" w:color="auto" w:fill="FFFFFF"/>
        <w:spacing w:before="0" w:beforeAutospacing="0" w:after="0" w:afterAutospacing="0" w:line="500" w:lineRule="exact"/>
        <w:ind w:firstLineChars="200" w:firstLine="643"/>
        <w:rPr>
          <w:rFonts w:ascii="仿宋_GB2312" w:eastAsia="仿宋_GB2312" w:hint="eastAsia"/>
          <w:color w:val="333333"/>
          <w:sz w:val="32"/>
          <w:szCs w:val="32"/>
        </w:rPr>
      </w:pPr>
      <w:r w:rsidRPr="00CA1B98">
        <w:rPr>
          <w:rFonts w:ascii="仿宋_GB2312" w:eastAsia="仿宋_GB2312" w:hint="eastAsia"/>
          <w:b/>
          <w:bCs/>
          <w:color w:val="333333"/>
          <w:sz w:val="32"/>
          <w:szCs w:val="32"/>
          <w:bdr w:val="none" w:sz="0" w:space="0" w:color="auto" w:frame="1"/>
        </w:rPr>
        <w:t>六、保障措施</w:t>
      </w:r>
    </w:p>
    <w:p w:rsidR="00CA1B98" w:rsidRPr="00CA1B98" w:rsidRDefault="00CA1B98" w:rsidP="007B2E2B">
      <w:pPr>
        <w:pStyle w:val="a7"/>
        <w:shd w:val="clear" w:color="auto" w:fill="FFFFFF"/>
        <w:spacing w:before="0" w:beforeAutospacing="0" w:after="0" w:afterAutospacing="0" w:line="500" w:lineRule="exact"/>
        <w:ind w:firstLineChars="200" w:firstLine="640"/>
        <w:rPr>
          <w:rFonts w:ascii="仿宋_GB2312" w:eastAsia="仿宋_GB2312" w:hint="eastAsia"/>
          <w:color w:val="333333"/>
          <w:sz w:val="32"/>
          <w:szCs w:val="32"/>
        </w:rPr>
      </w:pPr>
      <w:r w:rsidRPr="00CA1B98">
        <w:rPr>
          <w:rFonts w:ascii="仿宋_GB2312" w:eastAsia="仿宋_GB2312" w:hint="eastAsia"/>
          <w:color w:val="333333"/>
          <w:sz w:val="32"/>
          <w:szCs w:val="32"/>
        </w:rPr>
        <w:t>（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w:t>
      </w:r>
      <w:r w:rsidRPr="00CA1B98">
        <w:rPr>
          <w:rFonts w:ascii="仿宋_GB2312" w:eastAsia="仿宋_GB2312" w:hint="eastAsia"/>
          <w:color w:val="333333"/>
          <w:sz w:val="32"/>
          <w:szCs w:val="32"/>
        </w:rPr>
        <w:lastRenderedPageBreak/>
        <w:t>科技成就要向相关机构和人员进行核实，听取专家意见，杜绝盲目夸大或者恶意贬低，反对“标题党”。对宣传报道不实、造成恶劣影响的，相关媒体、涉事单位及责任人员应及时澄清，有关部门应依规依法处理。</w:t>
      </w:r>
    </w:p>
    <w:p w:rsidR="00CA1B98" w:rsidRDefault="00CA1B98" w:rsidP="007B2E2B">
      <w:pPr>
        <w:pStyle w:val="a7"/>
        <w:shd w:val="clear" w:color="auto" w:fill="FFFFFF"/>
        <w:spacing w:before="0" w:beforeAutospacing="0" w:after="0" w:afterAutospacing="0" w:line="500" w:lineRule="exact"/>
        <w:ind w:firstLineChars="200" w:firstLine="640"/>
        <w:rPr>
          <w:rFonts w:hint="eastAsia"/>
          <w:color w:val="333333"/>
        </w:rPr>
      </w:pPr>
      <w:r w:rsidRPr="00CA1B98">
        <w:rPr>
          <w:rFonts w:ascii="仿宋_GB2312" w:eastAsia="仿宋_GB2312" w:hint="eastAsia"/>
          <w:color w:val="333333"/>
          <w:sz w:val="32"/>
          <w:szCs w:val="32"/>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CA1B98" w:rsidRPr="00CA1B98" w:rsidRDefault="00CA1B98" w:rsidP="00CA1B98">
      <w:pPr>
        <w:spacing w:line="500" w:lineRule="exact"/>
        <w:ind w:firstLineChars="200" w:firstLine="640"/>
        <w:rPr>
          <w:rFonts w:ascii="仿宋_GB2312" w:eastAsia="仿宋_GB2312" w:hint="eastAsia"/>
          <w:sz w:val="32"/>
          <w:szCs w:val="32"/>
        </w:rPr>
      </w:pPr>
    </w:p>
    <w:sectPr w:rsidR="00CA1B98" w:rsidRPr="00CA1B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08" w:rsidRDefault="00452608" w:rsidP="00CA1B98">
      <w:r>
        <w:separator/>
      </w:r>
    </w:p>
  </w:endnote>
  <w:endnote w:type="continuationSeparator" w:id="0">
    <w:p w:rsidR="00452608" w:rsidRDefault="00452608" w:rsidP="00CA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08" w:rsidRDefault="00452608" w:rsidP="00CA1B98">
      <w:r>
        <w:separator/>
      </w:r>
    </w:p>
  </w:footnote>
  <w:footnote w:type="continuationSeparator" w:id="0">
    <w:p w:rsidR="00452608" w:rsidRDefault="00452608" w:rsidP="00CA1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74"/>
    <w:rsid w:val="00003652"/>
    <w:rsid w:val="00067B75"/>
    <w:rsid w:val="00074AF5"/>
    <w:rsid w:val="00092F08"/>
    <w:rsid w:val="00154456"/>
    <w:rsid w:val="001A7970"/>
    <w:rsid w:val="002E6B88"/>
    <w:rsid w:val="00306162"/>
    <w:rsid w:val="00342EA3"/>
    <w:rsid w:val="00350BD4"/>
    <w:rsid w:val="004002D2"/>
    <w:rsid w:val="0040135A"/>
    <w:rsid w:val="00452608"/>
    <w:rsid w:val="004C56F6"/>
    <w:rsid w:val="00522A10"/>
    <w:rsid w:val="00524174"/>
    <w:rsid w:val="00553EAF"/>
    <w:rsid w:val="005A2738"/>
    <w:rsid w:val="006A4138"/>
    <w:rsid w:val="006A5A9F"/>
    <w:rsid w:val="0072266A"/>
    <w:rsid w:val="007A43EA"/>
    <w:rsid w:val="007B2E2B"/>
    <w:rsid w:val="008039F9"/>
    <w:rsid w:val="00851541"/>
    <w:rsid w:val="008C1CFB"/>
    <w:rsid w:val="00A00052"/>
    <w:rsid w:val="00AA3983"/>
    <w:rsid w:val="00AD2FB7"/>
    <w:rsid w:val="00B32798"/>
    <w:rsid w:val="00B6008C"/>
    <w:rsid w:val="00B80D13"/>
    <w:rsid w:val="00BD399B"/>
    <w:rsid w:val="00BE15A4"/>
    <w:rsid w:val="00C20F5B"/>
    <w:rsid w:val="00C22D6C"/>
    <w:rsid w:val="00C52EC0"/>
    <w:rsid w:val="00CA1B98"/>
    <w:rsid w:val="00CC4C62"/>
    <w:rsid w:val="00CF1D87"/>
    <w:rsid w:val="00D9326D"/>
    <w:rsid w:val="00DE1C9C"/>
    <w:rsid w:val="00E30144"/>
    <w:rsid w:val="00E304B5"/>
    <w:rsid w:val="00EB4BB2"/>
    <w:rsid w:val="00ED16E8"/>
    <w:rsid w:val="00F04134"/>
    <w:rsid w:val="00F73D64"/>
    <w:rsid w:val="00F9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5D1D"/>
  <w15:chartTrackingRefBased/>
  <w15:docId w15:val="{A78DA434-276E-4468-A6D1-168D2BD5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B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1B98"/>
    <w:rPr>
      <w:sz w:val="18"/>
      <w:szCs w:val="18"/>
    </w:rPr>
  </w:style>
  <w:style w:type="paragraph" w:styleId="a5">
    <w:name w:val="footer"/>
    <w:basedOn w:val="a"/>
    <w:link w:val="a6"/>
    <w:uiPriority w:val="99"/>
    <w:unhideWhenUsed/>
    <w:rsid w:val="00CA1B98"/>
    <w:pPr>
      <w:tabs>
        <w:tab w:val="center" w:pos="4153"/>
        <w:tab w:val="right" w:pos="8306"/>
      </w:tabs>
      <w:snapToGrid w:val="0"/>
      <w:jc w:val="left"/>
    </w:pPr>
    <w:rPr>
      <w:sz w:val="18"/>
      <w:szCs w:val="18"/>
    </w:rPr>
  </w:style>
  <w:style w:type="character" w:customStyle="1" w:styleId="a6">
    <w:name w:val="页脚 字符"/>
    <w:basedOn w:val="a0"/>
    <w:link w:val="a5"/>
    <w:uiPriority w:val="99"/>
    <w:rsid w:val="00CA1B98"/>
    <w:rPr>
      <w:sz w:val="18"/>
      <w:szCs w:val="18"/>
    </w:rPr>
  </w:style>
  <w:style w:type="paragraph" w:styleId="a7">
    <w:name w:val="Normal (Web)"/>
    <w:basedOn w:val="a"/>
    <w:uiPriority w:val="99"/>
    <w:semiHidden/>
    <w:unhideWhenUsed/>
    <w:rsid w:val="00CA1B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775</Words>
  <Characters>4418</Characters>
  <Application>Microsoft Office Word</Application>
  <DocSecurity>0</DocSecurity>
  <Lines>36</Lines>
  <Paragraphs>10</Paragraphs>
  <ScaleCrop>false</ScaleCrop>
  <Company>微软中国</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黄建</dc:creator>
  <cp:keywords/>
  <dc:description/>
  <cp:lastModifiedBy>黄建</cp:lastModifiedBy>
  <cp:revision>2</cp:revision>
  <dcterms:created xsi:type="dcterms:W3CDTF">2023-06-15T07:51:00Z</dcterms:created>
  <dcterms:modified xsi:type="dcterms:W3CDTF">2023-06-15T08:12:00Z</dcterms:modified>
</cp:coreProperties>
</file>